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a6ddd7b3911efa14c7d2237b63543675e82095"/>
    <w:p>
      <w:pPr>
        <w:pStyle w:val="Heading3"/>
      </w:pPr>
      <w:r>
        <w:t xml:space="preserve">Оповещение о проведении общественных обсуждений «ЭКОПРОЕКТ»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«Об экологической экспертизе» от 23.11.1995 г. №174-ФЗ, приказом Министерства природных ресурсов и экологии РФ от 01.12.2020 г. №999 «Об утверждении требований к материалам оценки воздействия на окружающую среду» на общественные обсуждения по объектам государственной экологической экспертизы федерального уровня представляются проекты технической документации на пестициды и агрохимикаты, включая предварительные материалы ОВОС.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деятельности:</w:t>
      </w:r>
    </w:p>
    <w:p>
      <w:pPr>
        <w:pStyle w:val="BodyText"/>
      </w:pPr>
      <w:r>
        <w:t xml:space="preserve">Проекты технической документации на пестициды:</w:t>
      </w:r>
    </w:p>
    <w:p>
      <w:pPr>
        <w:pStyle w:val="BodyText"/>
      </w:pPr>
      <w:bookmarkStart w:id="20" w:name="X5b3f5efd64d92bbf5e1b29098387896ead7e654"/>
      <w:r>
        <w:t xml:space="preserve">Стаккато, Ж (титр не менее 1х10</w:t>
      </w:r>
      <w:r>
        <w:rPr>
          <w:vertAlign w:val="superscript"/>
        </w:rPr>
        <w:t xml:space="preserve">9</w:t>
      </w:r>
      <w:r>
        <w:t xml:space="preserve"> </w:t>
      </w:r>
      <w:r>
        <w:t xml:space="preserve">КОЕ/мл Bacillus amyloliquefaciens 133 (ВКПМ В-11986);</w:t>
      </w:r>
      <w:bookmarkEnd w:id="20"/>
    </w:p>
    <w:p>
      <w:pPr>
        <w:pStyle w:val="BodyText"/>
      </w:pPr>
      <w:r>
        <w:t xml:space="preserve">Бетарен 320, МД (160 г/л десмедифама + 160 г/л фенмедифама);</w:t>
      </w:r>
    </w:p>
    <w:p>
      <w:pPr>
        <w:pStyle w:val="BodyText"/>
      </w:pPr>
      <w:r>
        <w:t xml:space="preserve">Бетарен Макс, МД (126 г/л этофумезата + 80 г/л десмедифама + 64 г/л фенмедифама);</w:t>
      </w:r>
    </w:p>
    <w:p>
      <w:pPr>
        <w:pStyle w:val="BodyText"/>
      </w:pPr>
      <w:r>
        <w:t xml:space="preserve">Бордоская жидкость, ВСК (172 г/л меди сульфата трехосновного);</w:t>
      </w:r>
    </w:p>
    <w:p>
      <w:pPr>
        <w:pStyle w:val="BodyText"/>
      </w:pPr>
      <w:r>
        <w:t xml:space="preserve">Эстамп, КЭ (330 г/л пендиметалина);</w:t>
      </w:r>
    </w:p>
    <w:p>
      <w:pPr>
        <w:pStyle w:val="BodyText"/>
      </w:pPr>
      <w:r>
        <w:t xml:space="preserve">Диполь, ВГР (330 г/л бентазона + 150 г/л фомесафена);</w:t>
      </w:r>
    </w:p>
    <w:p>
      <w:pPr>
        <w:pStyle w:val="BodyText"/>
      </w:pPr>
      <w:r>
        <w:t xml:space="preserve">Факел Экстра, ВР (500 г/л глифосата кислоты (калиевая соль);</w:t>
      </w:r>
    </w:p>
    <w:p>
      <w:pPr>
        <w:pStyle w:val="BodyText"/>
      </w:pPr>
      <w:r>
        <w:t xml:space="preserve">Факел, ВР (360 г/л глифосата кислоты (изопропиламинная соль);</w:t>
      </w:r>
    </w:p>
    <w:p>
      <w:pPr>
        <w:pStyle w:val="BodyText"/>
      </w:pPr>
      <w:r>
        <w:t xml:space="preserve">ФЛУСУЛАМ, КС (100 г/л флуметсулама + 100 г/л флорасулама);</w:t>
      </w:r>
    </w:p>
    <w:p>
      <w:pPr>
        <w:pStyle w:val="BodyText"/>
      </w:pPr>
      <w:r>
        <w:t xml:space="preserve">Фанфан, КЭ (250 г/л ципроконазола);</w:t>
      </w:r>
    </w:p>
    <w:p>
      <w:pPr>
        <w:pStyle w:val="BodyText"/>
      </w:pPr>
      <w:r>
        <w:t xml:space="preserve">Пируэт, КС (500 г/л хлороталонила + 55 г/л пираклостробина);</w:t>
      </w:r>
    </w:p>
    <w:p>
      <w:pPr>
        <w:pStyle w:val="BodyText"/>
      </w:pPr>
      <w:r>
        <w:t xml:space="preserve">Стэнли, КЭ (250 г/л тринексапак-этила);</w:t>
      </w:r>
    </w:p>
    <w:p>
      <w:pPr>
        <w:pStyle w:val="BodyText"/>
      </w:pPr>
      <w:r>
        <w:t xml:space="preserve">Таран, ВЭ (100 г/л зета-циперметрина);</w:t>
      </w:r>
    </w:p>
    <w:p>
      <w:pPr>
        <w:pStyle w:val="BodyText"/>
      </w:pPr>
      <w:r>
        <w:t xml:space="preserve">Софт, КЭ (125 г/л хизалофоп-П-этила);</w:t>
      </w:r>
    </w:p>
    <w:p>
      <w:pPr>
        <w:pStyle w:val="BodyText"/>
      </w:pPr>
      <w:r>
        <w:t xml:space="preserve">Тефлутрин, МКС (200 г/л тефлутрина);</w:t>
      </w:r>
    </w:p>
    <w:p>
      <w:pPr>
        <w:pStyle w:val="BodyText"/>
      </w:pPr>
      <w:r>
        <w:t xml:space="preserve">Корсар, ВРК (480 г/л бентазона);</w:t>
      </w:r>
    </w:p>
    <w:p>
      <w:pPr>
        <w:pStyle w:val="BodyText"/>
      </w:pPr>
      <w:r>
        <w:t xml:space="preserve">Корсар Супер, ВРК (400 г/л бентазона + 25 г/л имазамокса);</w:t>
      </w:r>
    </w:p>
    <w:p>
      <w:pPr>
        <w:pStyle w:val="BodyText"/>
      </w:pPr>
      <w:r>
        <w:t xml:space="preserve">Баобаб, КЭ (250 г/л тринексапак-этила);</w:t>
      </w:r>
    </w:p>
    <w:p>
      <w:pPr>
        <w:pStyle w:val="BodyText"/>
      </w:pPr>
      <w:r>
        <w:t xml:space="preserve">Арго Прим, МЭ (90 г/л феноксапроп-П-этила + 45 г/л клодинафоп- пропаргила + 40 г/л антидота клоквинтосет-мексила);</w:t>
      </w:r>
    </w:p>
    <w:p>
      <w:pPr>
        <w:pStyle w:val="BodyText"/>
      </w:pPr>
      <w:r>
        <w:t xml:space="preserve">Профикс, КЭ (250 г/л пропиконазола);</w:t>
      </w:r>
    </w:p>
    <w:p>
      <w:pPr>
        <w:pStyle w:val="BodyText"/>
      </w:pPr>
      <w:r>
        <w:t xml:space="preserve">Ризотто, МД (300 г/л цигалофоп-бутила + 18 г/л биспирибак натрия);</w:t>
      </w:r>
    </w:p>
    <w:p>
      <w:pPr>
        <w:pStyle w:val="BodyText"/>
      </w:pPr>
      <w:r>
        <w:t xml:space="preserve">Гамбит, СК (500 г/л прометрина);</w:t>
      </w:r>
    </w:p>
    <w:p>
      <w:pPr>
        <w:pStyle w:val="BodyText"/>
      </w:pPr>
      <w:r>
        <w:t xml:space="preserve">Либертадор, СК (160 г/л циазофамида);</w:t>
      </w:r>
    </w:p>
    <w:p>
      <w:pPr>
        <w:pStyle w:val="BodyText"/>
      </w:pPr>
      <w:r>
        <w:t xml:space="preserve">Орель, ВР (40 г/л имазамокса);</w:t>
      </w:r>
    </w:p>
    <w:p>
      <w:pPr>
        <w:pStyle w:val="BodyText"/>
      </w:pPr>
      <w:r>
        <w:t xml:space="preserve">Ривьера, МЭ (80 г/л пираклостробина + 80 г/л тебуконазола + 40 г/л дифеноконазола);</w:t>
      </w:r>
    </w:p>
    <w:p>
      <w:pPr>
        <w:pStyle w:val="BodyText"/>
      </w:pPr>
      <w:r>
        <w:t xml:space="preserve">Тиальф, КС (200 г/л тиаметоксама + 100 г/л альфа-циперметрина);</w:t>
      </w:r>
    </w:p>
    <w:p>
      <w:pPr>
        <w:pStyle w:val="BodyText"/>
      </w:pPr>
      <w:r>
        <w:t xml:space="preserve">Глок, ВДГ (150 г/кг флорасулама + 60 г/кг йодосульфурон-метил-натрия + 60 г/кг антидота мефенпир-диэтила);</w:t>
      </w:r>
    </w:p>
    <w:p>
      <w:pPr>
        <w:pStyle w:val="BodyText"/>
      </w:pPr>
      <w:r>
        <w:t xml:space="preserve">Кинмикс, КЭ (50 г/л бета-циперметрина);</w:t>
      </w:r>
    </w:p>
    <w:p>
      <w:pPr>
        <w:pStyle w:val="BodyText"/>
      </w:pPr>
      <w:r>
        <w:t xml:space="preserve">Дифилайн, КЭ (960 г/л С-метолахлора);</w:t>
      </w:r>
    </w:p>
    <w:p>
      <w:pPr>
        <w:pStyle w:val="BodyText"/>
      </w:pPr>
      <w:r>
        <w:t xml:space="preserve">Коллайдер, СК (200 г/л хлорантранилипрола);</w:t>
      </w:r>
    </w:p>
    <w:p>
      <w:pPr>
        <w:pStyle w:val="BodyText"/>
      </w:pPr>
      <w:r>
        <w:t xml:space="preserve">Фундазол, СП (500 г/кг беномила);</w:t>
      </w:r>
    </w:p>
    <w:p>
      <w:pPr>
        <w:pStyle w:val="BodyText"/>
      </w:pPr>
      <w:r>
        <w:t xml:space="preserve">Туарег, СМЭ (280 г/л имидаклоприда + 34 г/л имазалила + 20 г/л тебуконазола).</w:t>
      </w:r>
    </w:p>
    <w:p>
      <w:pPr>
        <w:pStyle w:val="BodyText"/>
      </w:pPr>
      <w:r>
        <w:t xml:space="preserve">Проекты технической документации на агрохимикаты:</w:t>
      </w:r>
    </w:p>
    <w:p>
      <w:pPr>
        <w:pStyle w:val="BodyText"/>
      </w:pPr>
      <w:bookmarkStart w:id="21" w:name="X2b3d01c29bbd4289e9136c0d0e1df8aee15052b"/>
      <w:r>
        <w:t xml:space="preserve">АгроМикс Т;</w:t>
      </w:r>
      <w:bookmarkEnd w:id="21"/>
    </w:p>
    <w:p>
      <w:pPr>
        <w:pStyle w:val="BodyText"/>
      </w:pPr>
      <w:r>
        <w:t xml:space="preserve">Удобрение органоминеральное жидкое Пользамакс марки: Mg,S; Зерновой; Бор; Хелат; Антистресс; Цинк;</w:t>
      </w:r>
    </w:p>
    <w:p>
      <w:pPr>
        <w:pStyle w:val="BodyText"/>
      </w:pPr>
      <w:r>
        <w:t xml:space="preserve">Ультрамикс марки: Рост, Развитие;</w:t>
      </w:r>
    </w:p>
    <w:p>
      <w:pPr>
        <w:pStyle w:val="BodyText"/>
      </w:pPr>
      <w:r>
        <w:t xml:space="preserve">Аммиак водный 10%;</w:t>
      </w:r>
    </w:p>
    <w:p>
      <w:pPr>
        <w:pStyle w:val="BodyText"/>
      </w:pPr>
      <w:r>
        <w:t xml:space="preserve">Удобрение органическое Фертисаф;</w:t>
      </w:r>
    </w:p>
    <w:p>
      <w:pPr>
        <w:pStyle w:val="BodyText"/>
      </w:pPr>
      <w:r>
        <w:t xml:space="preserve">БФ-1;</w:t>
      </w:r>
    </w:p>
    <w:p>
      <w:pPr>
        <w:pStyle w:val="BodyText"/>
      </w:pPr>
      <w:r>
        <w:t xml:space="preserve">Водорастворимое NK удобрение Нитрат калия марки Мульти-К: Джи Джи - Тепличный 13,5-0-46,2; ФАСТ - с низким рН 13,5-0-46,2;</w:t>
      </w:r>
    </w:p>
    <w:p>
      <w:pPr>
        <w:pStyle w:val="BodyText"/>
      </w:pPr>
      <w:r>
        <w:t xml:space="preserve">Агрикола универсальное комплексное удобрение марки: для капустных культур; для лука и чеснока; для томата и перца; для корнеплодов; для огурца, кабачка, патиссона; для рассады овощных культур; для комнатных, балконных, садовых цветочных культур; для декоративно-лиственных растений; для кактусов и суккулентов; для комнатных и садовых роз; для орхидей; для пальм; для фикусов; для цветущих растений; для комнатных растений; для ягодных культур; для хвойных растений; для комнатных и садовых гортензий;</w:t>
      </w:r>
    </w:p>
    <w:p>
      <w:pPr>
        <w:pStyle w:val="BodyText"/>
      </w:pPr>
      <w:r>
        <w:t xml:space="preserve">Аквалит марки: Калий, Кальций, Бор, Бор-молибден, Сера, Цинк;</w:t>
      </w:r>
    </w:p>
    <w:p>
      <w:pPr>
        <w:pStyle w:val="BodyText"/>
      </w:pPr>
      <w:r>
        <w:t xml:space="preserve">Удобрение жидкое комплексное Бона Форте серия (N:P:K:Mg+MЭ+В), серия (N:P:K+МЭ+Гумат) марки: 0,25:0,07:0,35+МЭ+В - Для продления жизни срезанных цветов; Для гидропоники; 2:1:6:0,5+МЭ+В - Для водных растений; Для хвойных растений; Для бонсай; 5:3:4:1+МЭ+В - Для декоративно-лиственных растений; 3:4:8:0,6+МЭ+В - Для декоративно-цветущих растений; Для всех сортов роз и хризантем; 9:5:6:1+МЭ+В - Для камелии, азалии, рододендронов и вересковых культур; Для декоративных кустарников и многолетних растений открытого грунта - весеннее; Супер; 3:5:7:0,3+МЭ+В - Для кактусов; 6:3:7:1,5+МЭ+В - Универсальное для всех комнатных растений; Для цитрусовых растений; Для вьющихся и ампельных растений; 4:2,5:7:1,3+МЭ+В – Для крупномерных красивоцветущих растений; Для орхидей; 7:3,5:7:1,4+МЭ+В - Для крупномерных медленнорастущих растений; Для газонов; 5:5:9:1,5+МЭ+В - Для фиалок и бегоний; Для декоративных кустарников и многолетних растений открытого грунта - летнее; 5:4,5:3,5:0,5+МЭ+В - Для герани и балконных цветов; Для клумбовых цветов; 4:2:7:0,5+МЭ+В - Для бромелиевых; 6:4:5:1+МЭ+В - Для фикусов и пальм; 0:7:5:0,3+МЭ+В - Для декоративных кустарников и многолетних растений открытого грунта - осеннее; 2:1:6+МЭ+Гумат - Для водных растений; Для хвойных растений; Для бонсай; 5:3:4+МЭ+Гумат - Для декоративно-лиственных растений; 3:4:8+МЭ+Гумат - Для декоративно-цветущих растений; Для всех сортов роз и хризантем; 9:5:6+МЭ+Гумат - Для камелии, азалии, рододендронов и вересковых культур; Для декоративных кустарников и многолетних растений открытого грунта - весеннее; Супер; 3:5:7+МЭ+Гумат - Для кактусов; 6:3:7+МЭ+Гумат - Универсальное для всех комнатных растений; Для цитрусовых растений; Для вьющихся и ампельных растений; 4:2,5:7+МЭ+Гумат - Для крупномерных красивоцветущих растений; Для орхидей; 7:3,5:7+МЭ+Гумат - Для крупномерных медленнорастущих растений; Для газонов; 5:5:9+МЭ+Гумат - Для фиалок и бегоний; Для декоративных кустарников и многолетних растений открытого грунта - летнее; 5:4,5:3,5+МЭ+Гумат - Для герани и балконных цветов; Для клумбовых цветов; 4:2:7+МЭ+Гумат - Для бромелиевых; 6:4:5+МЭ+Гумат - Для фикусов и пальм;</w:t>
      </w:r>
    </w:p>
    <w:p>
      <w:pPr>
        <w:pStyle w:val="BodyText"/>
      </w:pPr>
      <w:r>
        <w:t xml:space="preserve">Грунт питательный марки: Универсальный; Для рассады; Томат, перец и баклажан; Садовая земля; Посадочная смесь для деревьев и кустарников; Посадочная смесь для хвойников; Посадочная смесь для теплиц; Для Газонов; Универсальный цветочный; Универсальный для комнатных растений; Для Азалий; Для Орхидей; Для Бегоний; Для Сенполий (фиалок); Для Пальм; Для Роз; Для Драцен, монстер; Для Луковичных; Для Цитрусовых; Для хвойных; Для Кактусов; Для Суккулентов;</w:t>
      </w:r>
    </w:p>
    <w:p>
      <w:pPr>
        <w:pStyle w:val="BodyText"/>
      </w:pPr>
      <w:r>
        <w:t xml:space="preserve">Удобрение жидкое комплексное Проф Плюс N:P:K:Mg марки: 5:5:5:2; 11:2:2:2; 2:5:8:2; 2:4:8:0,5; 4:2:7,5:1; 9:4:3:2; 8:4:3:2; 3:4,5:6,5:1,5; 2:2:4,5:1,2; 1,5:4:8:0,6; 6:3:7:1; 4:2,5:7:1; 4,5:4,5:8:1; 2,3:0:0:3,3; 0,03:0:0,03:0,01.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деятельности:</w:t>
      </w:r>
      <w:r>
        <w:t xml:space="preserve"> </w:t>
      </w:r>
      <w:r>
        <w:t xml:space="preserve">Государственная регистрация пестицидов и агрохимикатов.</w:t>
      </w:r>
    </w:p>
    <w:p>
      <w:pPr>
        <w:pStyle w:val="BodyText"/>
      </w:pPr>
      <w:r>
        <w:rPr>
          <w:bCs/>
          <w:b/>
        </w:rPr>
        <w:t xml:space="preserve">Местоположение планируемой (намечаемой) хозяйственной деятельности:</w:t>
      </w:r>
      <w:r>
        <w:t xml:space="preserve"> </w:t>
      </w:r>
      <w:r>
        <w:t xml:space="preserve">Российская Федерация.</w:t>
      </w:r>
    </w:p>
    <w:p>
      <w:pPr>
        <w:pStyle w:val="BodyText"/>
      </w:pPr>
      <w:r>
        <w:rPr>
          <w:bCs/>
          <w:b/>
        </w:rPr>
        <w:t xml:space="preserve">Заказчик работ по оценке воздействия на окружающую среду:</w:t>
      </w:r>
    </w:p>
    <w:p>
      <w:pPr>
        <w:pStyle w:val="BodyText"/>
      </w:pPr>
      <w:r>
        <w:t xml:space="preserve">Общество с ограниченной ответственностью «ЭКОПРОЕКТ» (ООО «ЭКОПРОЕКТ»); ИНН 7719491520; ОГРН 1197746295955; юридический адрес: 107023, г. Москва, ул. Измайловский Вал, д. 30, эт. 1, комн. 3. Контактное лицо: Котлярова Татьяна Анатольевна, телефон: +7 (926) 965-22-86,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info@project-eko.ru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</w:p>
    <w:p>
      <w:pPr>
        <w:pStyle w:val="BodyText"/>
      </w:pPr>
      <w:r>
        <w:t xml:space="preserve">Общество с ограниченной ответственностью «ЭКОПРОЕКТ» (ООО «ЭКОПРОЕКТ»); ИНН 7719491520; ОГРН 1197746295955; юридический адрес: 107023, г. Москва, ул. Измайловский Вал, д. 30, эт. 1, комн. 3. Контактное лицо: Котлярова Татьяна Анатольевна, телефон: +7 (926) 965-22-86,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info@project-eko.ru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пн.-пт. С 10:00 до 17:00, тел.: +7 (926) 965-22-86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info@project-eko.ru</w:t>
        </w:r>
      </w:hyperlink>
      <w:r>
        <w:t xml:space="preserve"> </w:t>
      </w:r>
      <w:r>
        <w:t xml:space="preserve">(контактное лицо – Котлярова Татьяна Анатольевна).</w:t>
      </w:r>
    </w:p>
    <w:p>
      <w:pPr>
        <w:pStyle w:val="BodyText"/>
      </w:pPr>
      <w:r>
        <w:rPr>
          <w:bCs/>
          <w:b/>
        </w:rPr>
        <w:t xml:space="preserve">Данные уполномоченного органа, ответственного за организацию и проведение общественных обсуждений:</w:t>
      </w:r>
      <w:r>
        <w:t xml:space="preserve"> </w:t>
      </w:r>
      <w:r>
        <w:t xml:space="preserve">Управа района Соколиная гора города Москвы, фактический адрес: г. Москва, ул. Щербаковская, д. 5а; тел.: 8 (495) 777-77-77, адрес электронной почты: sg-priem@mos.ru.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 с</w:t>
      </w:r>
      <w:r>
        <w:t xml:space="preserve"> </w:t>
      </w:r>
      <w:r>
        <w:rPr>
          <w:bCs/>
          <w:b/>
        </w:rPr>
        <w:t xml:space="preserve">27.12.2024 по 26.01.2025</w:t>
      </w:r>
      <w:r>
        <w:t xml:space="preserve"> </w:t>
      </w:r>
      <w:r>
        <w:t xml:space="preserve">на официальных сайтах управы района Соколиная гора https://sokolinka.mos.ru; префектуры Восточного административного округа города Москвы</w:t>
      </w:r>
      <w:r>
        <w:t xml:space="preserve"> </w:t>
      </w:r>
      <w:hyperlink r:id="rId23">
        <w:r>
          <w:rPr>
            <w:rStyle w:val="Hyperlink"/>
          </w:rPr>
          <w:t xml:space="preserve">http://vao.mos.ru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Планируемые сроки проведения оценки воздействия на окружающую среду:</w:t>
      </w:r>
      <w:r>
        <w:t xml:space="preserve"> </w:t>
      </w:r>
      <w:r>
        <w:t xml:space="preserve">20.12.2024 - 05.02.2025.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–</w:t>
      </w:r>
      <w:r>
        <w:t xml:space="preserve"> </w:t>
      </w:r>
      <w:r>
        <w:t xml:space="preserve">опрос.</w:t>
      </w:r>
    </w:p>
    <w:p>
      <w:pPr>
        <w:pStyle w:val="BodyText"/>
      </w:pPr>
      <w:r>
        <w:t xml:space="preserve">Представление замечаний и предложений будет осуществляться в форме опросных листов. Представить опросные листы можно в период проведения общественных обсуждений</w:t>
      </w:r>
      <w:r>
        <w:t xml:space="preserve"> </w:t>
      </w:r>
      <w:r>
        <w:rPr>
          <w:bCs/>
          <w:b/>
        </w:rPr>
        <w:t xml:space="preserve">(27.12.2024 по 26.01.2025)</w:t>
      </w:r>
      <w:r>
        <w:t xml:space="preserve">, а также в течение 10 календарных дней после окончания срока общественных обсуждений</w:t>
      </w:r>
      <w:r>
        <w:t xml:space="preserve"> </w:t>
      </w:r>
      <w:r>
        <w:rPr>
          <w:bCs/>
          <w:b/>
        </w:rPr>
        <w:t xml:space="preserve">(до 05.02.2025)</w:t>
      </w:r>
      <w:r>
        <w:t xml:space="preserve"> </w:t>
      </w:r>
      <w:r>
        <w:t xml:space="preserve">по адресу сбора опросных листов: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Соколиная гора sg-priem@mos.ru;</w:t>
      </w:r>
    </w:p>
    <w:p>
      <w:pPr>
        <w:pStyle w:val="BodyText"/>
      </w:pPr>
      <w:r>
        <w:t xml:space="preserve">2) путем почтового отправления в адрес управы района Соколиная гора города Москвы: 107023, Россия, г. Москва, ул.Буженинова 12;</w:t>
      </w:r>
    </w:p>
    <w:p>
      <w:pPr>
        <w:pStyle w:val="BodyText"/>
      </w:pPr>
      <w:r>
        <w:t xml:space="preserve">3) посредством электронной почты в адрес заказчика/ исполнителя:</w:t>
      </w:r>
      <w:r>
        <w:t xml:space="preserve"> </w:t>
      </w:r>
      <w:hyperlink r:id="rId22">
        <w:r>
          <w:rPr>
            <w:rStyle w:val="Hyperlink"/>
          </w:rPr>
          <w:t xml:space="preserve">info@project-eko.ru</w:t>
        </w:r>
      </w:hyperlink>
      <w:r>
        <w:t xml:space="preserve">, а также путем почтового отправления в адрес заказчика/ исполнителя: 107023, г. Москва, ул. Измайловский Вал, 30, эт. 1, комн.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http://vao.mos.ru/obyavlennye_publichnye_slushaniya/detail/12735057.html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ao.mos.ru" TargetMode="External" /><Relationship Type="http://schemas.openxmlformats.org/officeDocument/2006/relationships/hyperlink" Id="rId23" Target="http://vao.mos.ru/" TargetMode="External" /><Relationship Type="http://schemas.openxmlformats.org/officeDocument/2006/relationships/hyperlink" Id="rId24" Target="http://vao.mos.ru/obyavlennye_publichnye_slushaniya/detail/12735057.html" TargetMode="External" /><Relationship Type="http://schemas.openxmlformats.org/officeDocument/2006/relationships/hyperlink" Id="rId22" Target="mailto:info@project-ek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3" Target="http://vao.mos.ru/" TargetMode="External" /><Relationship Type="http://schemas.openxmlformats.org/officeDocument/2006/relationships/hyperlink" Id="rId24" Target="http://vao.mos.ru/obyavlennye_publichnye_slushaniya/detail/12735057.html" TargetMode="External" /><Relationship Type="http://schemas.openxmlformats.org/officeDocument/2006/relationships/hyperlink" Id="rId22" Target="mailto:info@project-ek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2025-06-14T03:20:17Z</dcterms:created>
  <dcterms:modified xsi:type="dcterms:W3CDTF">2025-06-14T03:20:17Z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