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03a5eed1852ae62a5d5f8c1d0cac50c4ceb6744"/>
    <w:p>
      <w:pPr>
        <w:pStyle w:val="Heading3"/>
      </w:pPr>
      <w:r>
        <w:t xml:space="preserve">Уведомление о проведении общественных обсуждений</w:t>
      </w:r>
    </w:p>
    <w:p>
      <w:pPr>
        <w:pStyle w:val="FirstParagraph"/>
      </w:pPr>
      <w:r>
        <w:t xml:space="preserve">19.07.2025</w:t>
      </w:r>
    </w:p>
    <w:p>
      <w:pPr>
        <w:pStyle w:val="BodyText"/>
      </w:pPr>
      <w:r>
        <w:rPr>
          <w:bCs/>
          <w:b/>
        </w:rPr>
        <w:t xml:space="preserve">Уведомление о проведении общественных обсуждений по объектам государственной экологической экспертизы, содержащим предварительные материалы оценки воздействия на окружающую среду на пестициды и агрохимикаты</w:t>
      </w:r>
    </w:p>
    <w:p>
      <w:pPr>
        <w:pStyle w:val="BodyText"/>
      </w:pPr>
      <w:r>
        <w:t xml:space="preserve">ООО «ЭКОПРОЕКТ» уведомляет о начале проведения общественных обсуждений по объектам государственной экологической экспертизы федерального уровня - проектам технической документации на пестициды и агрохимикаты.</w:t>
      </w:r>
    </w:p>
    <w:p>
      <w:pPr>
        <w:pStyle w:val="BodyText"/>
      </w:pPr>
      <w:r>
        <w:rPr>
          <w:bCs/>
          <w:b/>
        </w:rPr>
        <w:t xml:space="preserve">Заказчик (исполнитель), отвечающий за подготовку документации:</w:t>
      </w:r>
    </w:p>
    <w:p>
      <w:pPr>
        <w:pStyle w:val="BodyText"/>
      </w:pPr>
      <w:r>
        <w:t xml:space="preserve">Общество с ограниченной ответственностью «ЭКОПРОЕКТ» (ООО «ЭКОПРОЕКТ»); ИНН 7719491520; ОГРН 1197746295955; юридический адрес: 107023, г. Москва, ул. Измайловский Вал, 30, эт. 1, комн. 3; телефон: +7 (926) 965-22-86, электронная почта: info@project-eko.ru.</w:t>
      </w:r>
    </w:p>
    <w:p>
      <w:pPr>
        <w:pStyle w:val="BodyText"/>
      </w:pPr>
      <w:r>
        <w:rPr>
          <w:bCs/>
          <w:b/>
        </w:rPr>
        <w:t xml:space="preserve">Уполномоченный орган, ответственный за проведение общественных обсуждений:</w:t>
      </w:r>
    </w:p>
    <w:p>
      <w:pPr>
        <w:pStyle w:val="BodyText"/>
      </w:pPr>
      <w:r>
        <w:t xml:space="preserve">управа района Соколиная гора города Москвы, юридический адрес: г. Москва, ул. Щербаковская, д. 5а, фактический адрес: г. Москва, ул. Фортунатовская, д. 10, телефон: +7 (495) 365-41-29, электронная почта: sg-priem@mos.ru.</w:t>
      </w:r>
    </w:p>
    <w:p>
      <w:pPr>
        <w:pStyle w:val="BodyText"/>
      </w:pPr>
      <w:r>
        <w:rPr>
          <w:bCs/>
          <w:b/>
        </w:rPr>
        <w:t xml:space="preserve">Наименование объекта общественных обсуждений:</w:t>
      </w:r>
    </w:p>
    <w:p>
      <w:pPr>
        <w:pStyle w:val="BodyText"/>
      </w:pPr>
      <w:r>
        <w:t xml:space="preserve">Проекты технической документации, включая предварительные материалы ОВОС, на пестициды:</w:t>
      </w:r>
    </w:p>
    <w:p>
      <w:pPr>
        <w:pStyle w:val="BodyText"/>
      </w:pPr>
      <w:r>
        <w:t xml:space="preserve">ПроТэб, КМЭ (300 г/л пропиконазола + 200 г/л тебуконазола);</w:t>
      </w:r>
    </w:p>
    <w:p>
      <w:pPr>
        <w:pStyle w:val="BodyText"/>
      </w:pPr>
      <w:r>
        <w:t xml:space="preserve">Оплот Трио, ВСК (90 г/л дифеноконазола + 45 г/л тебуконазола + 40 г/л азоксистробина);</w:t>
      </w:r>
    </w:p>
    <w:p>
      <w:pPr>
        <w:pStyle w:val="BodyText"/>
      </w:pPr>
      <w:r>
        <w:t xml:space="preserve">Грейт, МД (90 г/л тифенсульфурон-метила + 24 г/л флуметсулама + 18 г/л флорасулама);</w:t>
      </w:r>
    </w:p>
    <w:p>
      <w:pPr>
        <w:pStyle w:val="BodyText"/>
      </w:pPr>
      <w:r>
        <w:t xml:space="preserve">Алиадо, КЭ (400 г/л хлорпирифоса + 20 г/л бифентрина);</w:t>
      </w:r>
    </w:p>
    <w:p>
      <w:pPr>
        <w:pStyle w:val="BodyText"/>
      </w:pPr>
      <w:r>
        <w:t xml:space="preserve">Пропонит Дуо, КЭ (720 г/л пропизохлора + 30 г/л кломазона);</w:t>
      </w:r>
    </w:p>
    <w:p>
      <w:pPr>
        <w:pStyle w:val="BodyText"/>
      </w:pPr>
      <w:r>
        <w:t xml:space="preserve">Пропонит, КЭ (720 г/л пропизохлора);</w:t>
      </w:r>
    </w:p>
    <w:p>
      <w:pPr>
        <w:pStyle w:val="BodyText"/>
      </w:pPr>
      <w:r>
        <w:t xml:space="preserve">Санмайт, СП (200 г/кг пиридабена);</w:t>
      </w:r>
    </w:p>
    <w:p>
      <w:pPr>
        <w:pStyle w:val="BodyText"/>
      </w:pPr>
      <w:r>
        <w:t xml:space="preserve">Спрут, ВР (360 г/л глифосата кислоты (изопропиламинная соль);</w:t>
      </w:r>
    </w:p>
    <w:p>
      <w:pPr>
        <w:pStyle w:val="BodyText"/>
      </w:pPr>
      <w:r>
        <w:t xml:space="preserve">Вернер, КС (120 г/л тебуконазола + 100 г/л азоксистробина + 40 г/л ципроконазола);</w:t>
      </w:r>
    </w:p>
    <w:p>
      <w:pPr>
        <w:pStyle w:val="BodyText"/>
      </w:pPr>
      <w:r>
        <w:t xml:space="preserve">Банвел, ВР (480 г/л дикамбы кислоты (диметиламинная соль);</w:t>
      </w:r>
    </w:p>
    <w:p>
      <w:pPr>
        <w:pStyle w:val="BodyText"/>
      </w:pPr>
      <w:r>
        <w:t xml:space="preserve">Вайбранс Топ, КС (262,5 г/л тиаметоксама + 25 г/л седаксана + 25 г/л флудиоксонила);</w:t>
      </w:r>
    </w:p>
    <w:p>
      <w:pPr>
        <w:pStyle w:val="BodyText"/>
      </w:pPr>
      <w:r>
        <w:t xml:space="preserve">Каратэ Зеон, МКС (50 г/л лямбда-цигалотрина);</w:t>
      </w:r>
    </w:p>
    <w:p>
      <w:pPr>
        <w:pStyle w:val="BodyText"/>
      </w:pPr>
      <w:r>
        <w:t xml:space="preserve">Проклэйм, ВРГ (50 г/кг эмамектин бензоата);</w:t>
      </w:r>
    </w:p>
    <w:p>
      <w:pPr>
        <w:pStyle w:val="BodyText"/>
      </w:pPr>
      <w:r>
        <w:t xml:space="preserve">Клонрин, КЭ (150 г/л клотианидина + 100 г/л зета-циперметрина)</w:t>
      </w:r>
    </w:p>
    <w:p>
      <w:pPr>
        <w:pStyle w:val="BodyText"/>
      </w:pPr>
      <w:r>
        <w:t xml:space="preserve">Проекты технической документации, включая предварительные материалы ОВОС, на агрохимикаты:</w:t>
      </w:r>
    </w:p>
    <w:p>
      <w:pPr>
        <w:pStyle w:val="BodyText"/>
      </w:pPr>
      <w:r>
        <w:t xml:space="preserve">Водорастворимое удобрение марки: А, Б, В, Г, Д;</w:t>
      </w:r>
    </w:p>
    <w:p>
      <w:pPr>
        <w:pStyle w:val="BodyText"/>
      </w:pPr>
      <w:r>
        <w:t xml:space="preserve">Удобрение органоминеральное КомплеМет марка Эластико;</w:t>
      </w:r>
    </w:p>
    <w:p>
      <w:pPr>
        <w:pStyle w:val="BodyText"/>
      </w:pPr>
      <w:r>
        <w:t xml:space="preserve">Удобрение комплексное КомплеМет марка Кальций+Магний;</w:t>
      </w:r>
    </w:p>
    <w:p>
      <w:pPr>
        <w:pStyle w:val="BodyText"/>
      </w:pPr>
      <w:r>
        <w:t xml:space="preserve">Микроудобрение КомплеМет марка Кремний;</w:t>
      </w:r>
    </w:p>
    <w:p>
      <w:pPr>
        <w:pStyle w:val="BodyText"/>
      </w:pPr>
      <w:r>
        <w:t xml:space="preserve">Удобрение комплексное КомплеМет марка Магний;</w:t>
      </w:r>
    </w:p>
    <w:p>
      <w:pPr>
        <w:pStyle w:val="BodyText"/>
      </w:pPr>
      <w:r>
        <w:t xml:space="preserve">Оптимайзер;</w:t>
      </w:r>
    </w:p>
    <w:p>
      <w:pPr>
        <w:pStyle w:val="BodyText"/>
      </w:pPr>
      <w:r>
        <w:t xml:space="preserve">Агринос 2+;</w:t>
      </w:r>
    </w:p>
    <w:p>
      <w:pPr>
        <w:pStyle w:val="BodyText"/>
      </w:pPr>
      <w:r>
        <w:t xml:space="preserve">Агровин марки: Агровин Мn-Сu-Zn-Плюс; Агровин Мg-Zn-В-Плюс; Агровин Са-Плюс; Агровин В-Мо; Агровин Микро-Микс;</w:t>
      </w:r>
    </w:p>
    <w:p>
      <w:pPr>
        <w:pStyle w:val="BodyText"/>
      </w:pPr>
      <w:r>
        <w:t xml:space="preserve">Алтасол;</w:t>
      </w:r>
    </w:p>
    <w:p>
      <w:pPr>
        <w:pStyle w:val="BodyText"/>
      </w:pPr>
      <w:r>
        <w:t xml:space="preserve">Микроудобрительный состав Ормисс универсал марка А+Б;</w:t>
      </w:r>
    </w:p>
    <w:p>
      <w:pPr>
        <w:pStyle w:val="BodyText"/>
      </w:pPr>
      <w:r>
        <w:t xml:space="preserve">Сульфат калия;</w:t>
      </w:r>
    </w:p>
    <w:p>
      <w:pPr>
        <w:pStyle w:val="BodyText"/>
      </w:pPr>
      <w:r>
        <w:t xml:space="preserve">Агровин марки: Агровин Амино; Агровин Амино-57;</w:t>
      </w:r>
    </w:p>
    <w:p>
      <w:pPr>
        <w:pStyle w:val="BodyText"/>
      </w:pPr>
      <w:r>
        <w:t xml:space="preserve">Агрикола - аква универсальное комплексное удобрение марки: Успех, Микробаланс, Комплекс+S, Комплекс, 36, Mn, Fe, Mo, B, Вегета, Форвард, Фантазия, Для декоративно-лиственных растений, Для кактусов и суккулентов, Для комнатных и балконных растений, Для пальм, Для фикусов, Для орхидей, Для цветущих растений, От пожелтения листьев, Для роз, Для комнатных и садовых гортензий, Для хвойных растений;</w:t>
      </w:r>
    </w:p>
    <w:p>
      <w:pPr>
        <w:pStyle w:val="BodyText"/>
      </w:pPr>
      <w:r>
        <w:t xml:space="preserve">Агровин марки: Агровин Профи; Агровин Универсал;</w:t>
      </w:r>
    </w:p>
    <w:p>
      <w:pPr>
        <w:pStyle w:val="BodyText"/>
      </w:pPr>
      <w:r>
        <w:t xml:space="preserve">Органоминеральное удобрение Рутер марки: Рутер Био, Рутер Форте, Рутер Макс, Рутер Энерджи, Рутер Сидс;</w:t>
      </w:r>
    </w:p>
    <w:p>
      <w:pPr>
        <w:pStyle w:val="BodyText"/>
      </w:pPr>
      <w:r>
        <w:t xml:space="preserve">Грунт торфяной марки: Садовая земля, Овощная грядка, Зеленая лужайка, Цветочная поляна, Универсальный для комнатных цветов, Хвойный лес, Любимая роза, Для газона, Для цветов, Для рододендронов, Для роз, Для хвойных, Профессионал, Универсал, Универсал с биогумусом, Долина роз, Урожайная грядка, Плодовый сад, Любимые цветы, Изумрудный газон, Хвойная сказка, Для рассады универсальный, Для томатов, перцев, баклажанов, Для плодовых культур, Для цветов универсальный, Азалия, камелия, Фиалка, бегония, Фикус, пальма, Кактус, алоэ, Профи универсал, Орхидеи, Для рассады, Универсальный, Герань, Для голубики и лесных ягод, Цитрус, Торф верховой нейтрализованный, Торфяной субстрат;</w:t>
      </w:r>
    </w:p>
    <w:p>
      <w:pPr>
        <w:pStyle w:val="BodyText"/>
      </w:pPr>
      <w:r>
        <w:t xml:space="preserve">Карбамид марка Б;</w:t>
      </w:r>
    </w:p>
    <w:p>
      <w:pPr>
        <w:pStyle w:val="BodyText"/>
      </w:pPr>
      <w:r>
        <w:t xml:space="preserve">Селитра аммиачная марка Б.</w:t>
      </w:r>
    </w:p>
    <w:p>
      <w:pPr>
        <w:pStyle w:val="BodyText"/>
      </w:pPr>
      <w:r>
        <w:rPr>
          <w:bCs/>
          <w:b/>
        </w:rPr>
        <w:t xml:space="preserve">Наименование планируемой хозяйственной и иной деятельности:</w:t>
      </w:r>
    </w:p>
    <w:p>
      <w:pPr>
        <w:pStyle w:val="BodyText"/>
      </w:pPr>
      <w:r>
        <w:t xml:space="preserve">Проекты технической документации, включая предварительные материалы ОВОС, на пестициды:</w:t>
      </w:r>
    </w:p>
    <w:p>
      <w:pPr>
        <w:pStyle w:val="BodyText"/>
      </w:pPr>
      <w:r>
        <w:t xml:space="preserve">ПроТэб, КМЭ (300 г/л пропиконазола + 200 г/л тебуконазола);</w:t>
      </w:r>
    </w:p>
    <w:p>
      <w:pPr>
        <w:pStyle w:val="BodyText"/>
      </w:pPr>
      <w:r>
        <w:t xml:space="preserve">Оплот Трио, ВСК (90 г/л дифеноконазола + 45 г/л тебуконазола + 40 г/л азоксистробина);</w:t>
      </w:r>
    </w:p>
    <w:p>
      <w:pPr>
        <w:pStyle w:val="BodyText"/>
      </w:pPr>
      <w:r>
        <w:t xml:space="preserve">Грейт, МД (90 г/л тифенсульфурон-метила + 24 г/л флуметсулама + 18 г/л флорасулама);</w:t>
      </w:r>
    </w:p>
    <w:p>
      <w:pPr>
        <w:pStyle w:val="BodyText"/>
      </w:pPr>
      <w:r>
        <w:t xml:space="preserve">Алиадо, КЭ (400 г/л хлорпирифоса + 20 г/л бифентрина);</w:t>
      </w:r>
    </w:p>
    <w:p>
      <w:pPr>
        <w:pStyle w:val="BodyText"/>
      </w:pPr>
      <w:r>
        <w:t xml:space="preserve">Пропонит Дуо, КЭ (720 г/л пропизохлора + 30 г/л кломазона);</w:t>
      </w:r>
    </w:p>
    <w:p>
      <w:pPr>
        <w:pStyle w:val="BodyText"/>
      </w:pPr>
      <w:r>
        <w:t xml:space="preserve">Пропонит, КЭ (720 г/л пропизохлора);</w:t>
      </w:r>
    </w:p>
    <w:p>
      <w:pPr>
        <w:pStyle w:val="BodyText"/>
      </w:pPr>
      <w:r>
        <w:t xml:space="preserve">Санмайт, СП (200 г/кг пиридабена);</w:t>
      </w:r>
    </w:p>
    <w:p>
      <w:pPr>
        <w:pStyle w:val="BodyText"/>
      </w:pPr>
      <w:r>
        <w:t xml:space="preserve">Спрут, ВР (360 г/л глифосата кислоты (изопропиламинная соль);</w:t>
      </w:r>
    </w:p>
    <w:p>
      <w:pPr>
        <w:pStyle w:val="BodyText"/>
      </w:pPr>
      <w:r>
        <w:t xml:space="preserve">Вернер, КС (120 г/л тебуконазола + 100 г/л азоксистробина + 40 г/л ципроконазола);</w:t>
      </w:r>
    </w:p>
    <w:p>
      <w:pPr>
        <w:pStyle w:val="BodyText"/>
      </w:pPr>
      <w:r>
        <w:t xml:space="preserve">Банвел, ВР (480 г/л дикамбы кислоты (диметиламинная соль);</w:t>
      </w:r>
    </w:p>
    <w:p>
      <w:pPr>
        <w:pStyle w:val="BodyText"/>
      </w:pPr>
      <w:r>
        <w:t xml:space="preserve">Вайбранс Топ, КС (262,5 г/л тиаметоксама + 25 г/л седаксана + 25 г/л флудиоксонила);</w:t>
      </w:r>
    </w:p>
    <w:p>
      <w:pPr>
        <w:pStyle w:val="BodyText"/>
      </w:pPr>
      <w:r>
        <w:t xml:space="preserve">Каратэ Зеон, МКС (50 г/л лямбда-цигалотрина);</w:t>
      </w:r>
    </w:p>
    <w:p>
      <w:pPr>
        <w:pStyle w:val="BodyText"/>
      </w:pPr>
      <w:r>
        <w:t xml:space="preserve">Проклэйм, ВРГ (50 г/кг эмамектин бензоата);</w:t>
      </w:r>
    </w:p>
    <w:p>
      <w:pPr>
        <w:pStyle w:val="BodyText"/>
      </w:pPr>
      <w:r>
        <w:t xml:space="preserve">Клонрин, КЭ (150 г/л клотианидина + 100 г/л зета-циперметрина)</w:t>
      </w:r>
    </w:p>
    <w:p>
      <w:pPr>
        <w:pStyle w:val="BodyText"/>
      </w:pPr>
      <w:r>
        <w:t xml:space="preserve">Проекты технической документации, включая предварительные материалы ОВОС, на агрохимикаты:</w:t>
      </w:r>
    </w:p>
    <w:p>
      <w:pPr>
        <w:pStyle w:val="BodyText"/>
      </w:pPr>
      <w:r>
        <w:t xml:space="preserve">Водорастворимое удобрение марки: А, Б, В, Г, Д;</w:t>
      </w:r>
    </w:p>
    <w:p>
      <w:pPr>
        <w:pStyle w:val="BodyText"/>
      </w:pPr>
      <w:r>
        <w:t xml:space="preserve">Удобрение органоминеральное КомплеМет марка Эластико;</w:t>
      </w:r>
    </w:p>
    <w:p>
      <w:pPr>
        <w:pStyle w:val="BodyText"/>
      </w:pPr>
      <w:r>
        <w:t xml:space="preserve">Удобрение комплексное КомплеМет марка Кальций+Магний;</w:t>
      </w:r>
    </w:p>
    <w:p>
      <w:pPr>
        <w:pStyle w:val="BodyText"/>
      </w:pPr>
      <w:r>
        <w:t xml:space="preserve">Микроудобрение КомплеМет марка Кремний;</w:t>
      </w:r>
    </w:p>
    <w:p>
      <w:pPr>
        <w:pStyle w:val="BodyText"/>
      </w:pPr>
      <w:r>
        <w:t xml:space="preserve">Удобрение комплексное КомплеМет марка Магний;</w:t>
      </w:r>
    </w:p>
    <w:p>
      <w:pPr>
        <w:pStyle w:val="BodyText"/>
      </w:pPr>
      <w:r>
        <w:t xml:space="preserve">Оптимайзер;</w:t>
      </w:r>
    </w:p>
    <w:p>
      <w:pPr>
        <w:pStyle w:val="BodyText"/>
      </w:pPr>
      <w:r>
        <w:t xml:space="preserve">Агринос 2+;</w:t>
      </w:r>
    </w:p>
    <w:p>
      <w:pPr>
        <w:pStyle w:val="BodyText"/>
      </w:pPr>
      <w:r>
        <w:t xml:space="preserve">Агровин марки: Агровин Мn-Сu-Zn-Плюс; Агровин Мg-Zn-В-Плюс; Агровин Са-Плюс; Агровин В-Мо; Агровин Микро-Микс;</w:t>
      </w:r>
    </w:p>
    <w:p>
      <w:pPr>
        <w:pStyle w:val="BodyText"/>
      </w:pPr>
      <w:r>
        <w:t xml:space="preserve">Алтасол;</w:t>
      </w:r>
    </w:p>
    <w:p>
      <w:pPr>
        <w:pStyle w:val="BodyText"/>
      </w:pPr>
      <w:r>
        <w:t xml:space="preserve">Микроудобрительный состав Ормисс универсал марка А+Б;</w:t>
      </w:r>
    </w:p>
    <w:p>
      <w:pPr>
        <w:pStyle w:val="BodyText"/>
      </w:pPr>
      <w:r>
        <w:t xml:space="preserve">Сульфат калия;</w:t>
      </w:r>
    </w:p>
    <w:p>
      <w:pPr>
        <w:pStyle w:val="BodyText"/>
      </w:pPr>
      <w:r>
        <w:t xml:space="preserve">Агровин марки: Агровин Амино; Агровин Амино-57;</w:t>
      </w:r>
    </w:p>
    <w:p>
      <w:pPr>
        <w:pStyle w:val="BodyText"/>
      </w:pPr>
      <w:r>
        <w:t xml:space="preserve">Агрикола - аква универсальное комплексное удобрение марки: Успех, Микробаланс, Комплекс+S, Комплекс, 36, Mn, Fe, Mo, B, Вегета, Форвард, Фантазия, Для декоративно-лиственных растений, Для кактусов и суккулентов, Для комнатных и балконных растений, Для пальм, Для фикусов, Для орхидей, Для цветущих растений, От пожелтения листьев, Для роз, Для комнатных и садовых гортензий, Для хвойных растений;</w:t>
      </w:r>
    </w:p>
    <w:p>
      <w:pPr>
        <w:pStyle w:val="BodyText"/>
      </w:pPr>
      <w:r>
        <w:t xml:space="preserve">Агровин марки: Агровин Профи; Агровин Универсал;</w:t>
      </w:r>
    </w:p>
    <w:p>
      <w:pPr>
        <w:pStyle w:val="BodyText"/>
      </w:pPr>
      <w:r>
        <w:t xml:space="preserve">Органоминеральное удобрение Рутер марки: Рутер Био, Рутер Форте, Рутер Макс, Рутер Энерджи, Рутер Сидс;</w:t>
      </w:r>
    </w:p>
    <w:p>
      <w:pPr>
        <w:pStyle w:val="BodyText"/>
      </w:pPr>
      <w:r>
        <w:t xml:space="preserve">Грунт торфяной марки: Садовая земля, Овощная грядка, Зеленая лужайка, Цветочная поляна, Универсальный для комнатных цветов, Хвойный лес, Любимая роза, Для газона, Для цветов, Для рододендронов, Для роз, Для хвойных, Профессионал, Универсал, Универсал с биогумусом, Долина роз, Урожайная грядка, Плодовый сад, Любимые цветы, Изумрудный газон, Хвойная сказка, Для рассады универсальный, Для томатов, перцев, баклажанов, Для плодовых культур, Для цветов универсальный, Азалия, камелия, Фиалка, бегония, Фикус, пальма, Кактус, алоэ, Профи универсал, Орхидеи, Для рассады, Универсальный, Герань, Для голубики и лесных ягод, Цитрус, Торф верховой нейтрализованный, Торфяной субстрат;</w:t>
      </w:r>
    </w:p>
    <w:p>
      <w:pPr>
        <w:pStyle w:val="BodyText"/>
      </w:pPr>
      <w:r>
        <w:t xml:space="preserve">Карбамид марка Б;</w:t>
      </w:r>
    </w:p>
    <w:p>
      <w:pPr>
        <w:pStyle w:val="BodyText"/>
      </w:pPr>
      <w:r>
        <w:t xml:space="preserve">Селитра аммиачная марка Б.</w:t>
      </w:r>
    </w:p>
    <w:p>
      <w:pPr>
        <w:pStyle w:val="BodyText"/>
      </w:pPr>
      <w:r>
        <w:rPr>
          <w:bCs/>
          <w:b/>
        </w:rPr>
        <w:t xml:space="preserve">Цель планируемой хозяйственной и иной деятельности</w:t>
      </w:r>
      <w:r>
        <w:t xml:space="preserve">: государственная регистрация пестицидов и агрохимикатов.</w:t>
      </w:r>
    </w:p>
    <w:p>
      <w:pPr>
        <w:pStyle w:val="BodyText"/>
      </w:pPr>
      <w:r>
        <w:rPr>
          <w:bCs/>
          <w:b/>
        </w:rPr>
        <w:t xml:space="preserve">Предварительное место реализации планируемой хозяйственной и иной деятельности</w:t>
      </w:r>
      <w:r>
        <w:t xml:space="preserve">: Российская Федерация.</w:t>
      </w:r>
    </w:p>
    <w:p>
      <w:pPr>
        <w:pStyle w:val="BodyText"/>
      </w:pPr>
      <w:r>
        <w:t xml:space="preserve">Объекты обсуждений размещены и доступны для очного ознакомления в управе района Соколиная гора города Москвы, юридический адрес: г. Москва, ул. Щербаковская, д. 5а., фактический адрес: г. Москва, ул. Фортунатовская, д. 10 с понедельника по четверг с 8 ч. 00. мин. до 17 ч. 00 мин., в пятницу с 8 ч. 00. мин. до 15 ч. 45 мин. (перерыв с 13 ч. 00 мин до 13 ч. 45 мин.)</w:t>
      </w:r>
    </w:p>
    <w:p>
      <w:pPr>
        <w:pStyle w:val="BodyText"/>
      </w:pPr>
      <w:r>
        <w:rPr>
          <w:bCs/>
          <w:b/>
        </w:rPr>
        <w:t xml:space="preserve">Дата открытия доступа: 25.07.2025 г.</w:t>
      </w:r>
    </w:p>
    <w:p>
      <w:pPr>
        <w:pStyle w:val="BodyText"/>
      </w:pPr>
      <w:r>
        <w:t xml:space="preserve">Срок доступности:</w:t>
      </w:r>
      <w:r>
        <w:t xml:space="preserve"> </w:t>
      </w:r>
      <w:bookmarkStart w:id="20" w:name="Xf6ed647a9410f0fb8e7086d66750c14f5fd43cf"/>
      <w:r>
        <w:t xml:space="preserve">25.07.2025 г. – 23.08.2025 г.</w:t>
      </w:r>
      <w:bookmarkEnd w:id="20"/>
      <w:r>
        <w:t xml:space="preserve"> </w:t>
      </w:r>
      <w:r>
        <w:t xml:space="preserve">(включительно).</w:t>
      </w:r>
    </w:p>
    <w:p>
      <w:pPr>
        <w:pStyle w:val="BodyText"/>
      </w:pPr>
      <w:r>
        <w:t xml:space="preserve">В электронном виде с объектами обсуждений можно ознакомиться в сети "Интернет" по электронному адресу:</w:t>
      </w:r>
      <w:r>
        <w:t xml:space="preserve"> </w:t>
      </w:r>
      <w:hyperlink r:id="rId21">
        <w:r>
          <w:rPr>
            <w:rStyle w:val="Hyperlink"/>
          </w:rPr>
          <w:t xml:space="preserve">https://disk.yandex.ru/d/-BhfBUdjPt8Dcw</w:t>
        </w:r>
      </w:hyperlink>
      <w:r>
        <w:t xml:space="preserve">.</w:t>
      </w:r>
    </w:p>
    <w:p>
      <w:pPr>
        <w:pStyle w:val="BodyText"/>
      </w:pPr>
      <w:r>
        <w:t xml:space="preserve">Дата размещения в сети «Интернет»: 25.07.2025 г.</w:t>
      </w:r>
    </w:p>
    <w:p>
      <w:pPr>
        <w:pStyle w:val="BodyText"/>
      </w:pPr>
      <w:r>
        <w:t xml:space="preserve">Срок размещения: 25.07.2025 г. – 23.08.2025 г. (включительно).</w:t>
      </w:r>
    </w:p>
    <w:p>
      <w:pPr>
        <w:pStyle w:val="BodyText"/>
      </w:pPr>
      <w:r>
        <w:t xml:space="preserve">Проведение слушаний может быть инициировано гражданами в соответствии с п. 23 Постановления Правительства РФ от 28.11.2024 N 1644 "О порядке проведения оценки воздействия на окружающую среду" (вместе с "Правилами проведения оценки воздействия на окружающую среду") путем направления в управу района Соколиная гора города Москвы соответствующей инициативы в произвольной форме по адресу: 105318, г. Москва, ул. Щербаковская, д. 5а., фактический адрес: г. Москва, ул. Фортунатовская, д. 10 или на электронную почту: sg-priem@mos.ru.</w:t>
      </w:r>
    </w:p>
    <w:p>
      <w:pPr>
        <w:pStyle w:val="BodyText"/>
      </w:pPr>
      <w:r>
        <w:t xml:space="preserve">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p>
    <w:p>
      <w:pPr>
        <w:pStyle w:val="BodyText"/>
      </w:pPr>
      <w:r>
        <w:rPr>
          <w:bCs/>
          <w:b/>
        </w:rPr>
        <w:t xml:space="preserve">Срок проведения общественных обсуждений: 25.07.2025 г. – 23.08.2025 г. (включительно).</w:t>
      </w:r>
    </w:p>
    <w:p>
      <w:pPr>
        <w:pStyle w:val="BodyText"/>
      </w:pPr>
      <w:r>
        <w:t xml:space="preserve">В течение всего периода проведения общественных обсуждений участники общественных обсуждений имеют право вносить предложения и замечания, касающиеся объекта обсуждений:</w:t>
      </w:r>
    </w:p>
    <w:p>
      <w:pPr>
        <w:pStyle w:val="BodyText"/>
      </w:pPr>
      <w:r>
        <w:t xml:space="preserve">а) на официальных сайтах управы района Соколиная гора</w:t>
      </w:r>
      <w:r>
        <w:t xml:space="preserve"> </w:t>
      </w:r>
      <w:hyperlink r:id="rId22">
        <w:r>
          <w:rPr>
            <w:rStyle w:val="Hyperlink"/>
          </w:rPr>
          <w:t xml:space="preserve">https://sokolinka.mos.ru</w:t>
        </w:r>
      </w:hyperlink>
      <w:r>
        <w:t xml:space="preserve">; префектуры Восточного административного округа города Москвы</w:t>
      </w:r>
      <w:r>
        <w:t xml:space="preserve"> </w:t>
      </w:r>
      <w:hyperlink r:id="rId23">
        <w:r>
          <w:rPr>
            <w:rStyle w:val="Hyperlink"/>
          </w:rPr>
          <w:t xml:space="preserve">http://vao.mos.ru;</w:t>
        </w:r>
      </w:hyperlink>
    </w:p>
    <w:p>
      <w:pPr>
        <w:pStyle w:val="BodyText"/>
      </w:pPr>
      <w:r>
        <w:t xml:space="preserve">б) в письменной или устной форме в ходе проведения слушаний (в случае проведения таких слушаний);</w:t>
      </w:r>
    </w:p>
    <w:p>
      <w:pPr>
        <w:pStyle w:val="BodyText"/>
      </w:pPr>
      <w:r>
        <w:t xml:space="preserve">в) в письменной форме (по адресу: 105318, г. Москва, ул. Щербаковская, д. 5а), или в форме электронного документа (по электронной почте: sg-priem@mos.ru), направленного в адрес уполномоченного органа;</w:t>
      </w:r>
    </w:p>
    <w:p>
      <w:pPr>
        <w:pStyle w:val="BodyText"/>
      </w:pPr>
      <w:r>
        <w:t xml:space="preserve">г) посредством записи в журнале учета участников общественных обсуждений, очно ознакомляющихся с объектом обсуждений, и их замечаний и предложений (юридический адрес: г. Москва, ул. Щербаковская, д. 5а, фактический адрес: г. Москва, ул. Фортунатовская, д. 10).</w:t>
      </w:r>
    </w:p>
    <w:p>
      <w:pPr>
        <w:pStyle w:val="BodyText"/>
      </w:pPr>
      <w:r>
        <w:t xml:space="preserve">Место размещения журнала учета замечаний и предложений и сбора замечаний и предложений, в том числе в электронном виде: на официальных сайтах управы района Соколиная гора https://sokolinka.mos.ru; префектуры Восточного административного округа города Москвы</w:t>
      </w:r>
      <w:r>
        <w:t xml:space="preserve"> </w:t>
      </w:r>
      <w:hyperlink r:id="rId24">
        <w:r>
          <w:rPr>
            <w:rStyle w:val="Hyperlink"/>
          </w:rPr>
          <w:t xml:space="preserve">http://vao.mos.ru</w:t>
        </w:r>
      </w:hyperlink>
      <w:r>
        <w:t xml:space="preserve">, а также по адресу управы района Соколиная гора юридический адрес: г. Москва, ул. Щербаковская, д. 5а, фактический адрес: г. Москва, ул. Фортунатовская, д. 10.</w:t>
      </w:r>
    </w:p>
    <w:p>
      <w:pPr>
        <w:pStyle w:val="BodyText"/>
      </w:pPr>
      <w:r>
        <w:t xml:space="preserve">При внесении предложений и замечаний участником общественных обсуждений указываются следующие сведения:</w:t>
      </w:r>
    </w:p>
    <w:p>
      <w:pPr>
        <w:pStyle w:val="BodyText"/>
      </w:pPr>
      <w:r>
        <w:t xml:space="preserve">– для физических лиц - фамилия, имя, отчество (при наличии), дата рождения, адрес места жительства (регистрации), телефон, адрес электронной почты (при наличии);</w:t>
      </w:r>
    </w:p>
    <w:p>
      <w:pPr>
        <w:pStyle w:val="BodyText"/>
      </w:pPr>
      <w:r>
        <w:t xml:space="preserve">– 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
    <w:p>
      <w:pPr>
        <w:pStyle w:val="BodyText"/>
      </w:pPr>
      <w:r>
        <w:t xml:space="preserve">– согласие на обработку персональных данных в соответствии с законодательством Российской Федерации в области персональных данных;</w:t>
      </w:r>
    </w:p>
    <w:p>
      <w:pPr>
        <w:pStyle w:val="BodyText"/>
      </w:pPr>
      <w:r>
        <w:t xml:space="preserve">– согласие на участие в подписании протокола общественных обсуждений, способ направления и подписания указанного протокола.</w:t>
      </w:r>
    </w:p>
    <w:p>
      <w:pPr>
        <w:pStyle w:val="BodyText"/>
      </w:pPr>
      <w:r>
        <w:t xml:space="preserve">Окончательные материалы оценки воздействия на окружающую среду, утвержденные заказчиком, в целях информирования общественности будут размещены заказчиком (исполнителем) в порядке и сроки, установленные Постановлением Правительства РФ от 28.11.2024 № 1644 "О порядке проведения оценки воздействия на окружающую среду" (вместе с "Правилами проведения оценки воздействия на окружающую среду") в сети "Интернет" по электронному адресу:</w:t>
      </w:r>
      <w:r>
        <w:t xml:space="preserve"> </w:t>
      </w:r>
      <w:hyperlink r:id="rId21">
        <w:r>
          <w:rPr>
            <w:rStyle w:val="Hyperlink"/>
          </w:rPr>
          <w:t xml:space="preserve">https://disk.yandex.ru/d/-BhfBUdjPt8Dcw</w:t>
        </w:r>
      </w:hyperlink>
      <w:r>
        <w:t xml:space="preserve"> </w:t>
      </w:r>
      <w:r>
        <w:t xml:space="preserve">.</w:t>
      </w:r>
    </w:p>
    <w:p>
      <w:pPr>
        <w:pStyle w:val="BodyText"/>
      </w:pPr>
      <w:r>
        <w:br/>
      </w:r>
      <w:r>
        <w:br/>
      </w:r>
    </w:p>
    <w:p>
      <w:pPr>
        <w:pStyle w:val="BodyText"/>
      </w:pPr>
      <w:r>
        <w:rPr>
          <w:bCs/>
          <w:b/>
        </w:rPr>
        <w:t xml:space="preserve">Контактные данные (телефон и адрес электронной почты ответственных лиц со стороны заказчика (исполнителя):</w:t>
      </w:r>
    </w:p>
    <w:p>
      <w:pPr>
        <w:pStyle w:val="BodyText"/>
      </w:pPr>
      <w:r>
        <w:t xml:space="preserve">Котлярова Татьяна Анатольевна, телефон: +7 (926) 965-22-86, электронная почта: info@project-eko.ru.</w:t>
      </w:r>
    </w:p>
    <w:p>
      <w:pPr>
        <w:pStyle w:val="BodyText"/>
      </w:pPr>
      <w:r>
        <w:rPr>
          <w:bCs/>
          <w:b/>
        </w:rPr>
        <w:t xml:space="preserve">Контактные данные (телефон и адрес электронной почты ответственного лица со стороны органа местного самоуправления:</w:t>
      </w:r>
    </w:p>
    <w:p>
      <w:pPr>
        <w:pStyle w:val="BodyText"/>
      </w:pPr>
      <w:r>
        <w:t xml:space="preserve">Скодтаев Марат Ибрагимович, телефон; +7 (495) 365-41-29, электронная почта: sg-priem@mos.ru</w:t>
      </w:r>
    </w:p>
    <w:p>
      <w:pPr>
        <w:pStyle w:val="BodyText"/>
      </w:pPr>
      <w:r>
        <w:br/>
      </w:r>
    </w:p>
    <w:p>
      <w:pPr>
        <w:pStyle w:val="BodyText"/>
      </w:pPr>
      <w:r>
        <w:t xml:space="preserve">Адрес страницы:</w:t>
      </w:r>
      <w:r>
        <w:t xml:space="preserve"> </w:t>
      </w:r>
      <w:hyperlink r:id="rId25">
        <w:r>
          <w:rPr>
            <w:rStyle w:val="Hyperlink"/>
          </w:rPr>
          <w:t xml:space="preserve">http://vao.mos.ru/obyavlennye_publichnye_slushaniya/detail/13113097.html</w:t>
        </w:r>
      </w:hyperlink>
    </w:p>
    <w:p>
      <w:pPr>
        <w:pStyle w:val="BodyText"/>
      </w:pPr>
      <w:hyperlink r:id="rId26">
        <w:r>
          <w:rPr>
            <w:rStyle w:val="Hyperlink"/>
          </w:rPr>
          <w:t xml:space="preserve">Префектура Восточного административного округа города Москвы</w:t>
        </w:r>
      </w:hyperlink>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vao.mos.ru" TargetMode="External" /><Relationship Type="http://schemas.openxmlformats.org/officeDocument/2006/relationships/hyperlink" Id="rId24" Target="http://vao.mos.ru/" TargetMode="External" /><Relationship Type="http://schemas.openxmlformats.org/officeDocument/2006/relationships/hyperlink" Id="rId25" Target="http://vao.mos.ru/obyavlennye_publichnye_slushaniya/detail/13113097.html" TargetMode="External" /><Relationship Type="http://schemas.openxmlformats.org/officeDocument/2006/relationships/hyperlink" Id="rId23" Target="http://vao.mos.ru;%20%0D/" TargetMode="External" /><Relationship Type="http://schemas.openxmlformats.org/officeDocument/2006/relationships/hyperlink" Id="rId21" Target="https://disk.yandex.ru/d/-BhfBUdjPt8Dcw" TargetMode="External" /><Relationship Type="http://schemas.openxmlformats.org/officeDocument/2006/relationships/hyperlink" Id="rId22" Target="https://sokolinka.mos.ru/" TargetMode="External" /></Relationships>
</file>

<file path=word/_rels/footnotes.xml.rels><?xml version="1.0" encoding="UTF-8"?><Relationships xmlns="http://schemas.openxmlformats.org/package/2006/relationships"><Relationship Type="http://schemas.openxmlformats.org/officeDocument/2006/relationships/hyperlink" Id="rId26" Target="http://vao.mos.ru" TargetMode="External" /><Relationship Type="http://schemas.openxmlformats.org/officeDocument/2006/relationships/hyperlink" Id="rId24" Target="http://vao.mos.ru/" TargetMode="External" /><Relationship Type="http://schemas.openxmlformats.org/officeDocument/2006/relationships/hyperlink" Id="rId25" Target="http://vao.mos.ru/obyavlennye_publichnye_slushaniya/detail/13113097.html" TargetMode="External" /><Relationship Type="http://schemas.openxmlformats.org/officeDocument/2006/relationships/hyperlink" Id="rId23" Target="http://vao.mos.ru;%20%0D/" TargetMode="External" /><Relationship Type="http://schemas.openxmlformats.org/officeDocument/2006/relationships/hyperlink" Id="rId21" Target="https://disk.yandex.ru/d/-BhfBUdjPt8Dcw" TargetMode="External" /><Relationship Type="http://schemas.openxmlformats.org/officeDocument/2006/relationships/hyperlink" Id="rId22" Target="https://sokolinka.mos.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2025-07-19T15:55:22Z</dcterms:created>
  <dcterms:modified xsi:type="dcterms:W3CDTF">2025-07-19T15:55:22Z</dcterms:modified>
</cp:coreProperties>
</file>

<file path=docProps/custom.xml><?xml version="1.0" encoding="utf-8"?>
<Properties xmlns="http://schemas.openxmlformats.org/officeDocument/2006/custom-properties" xmlns:vt="http://schemas.openxmlformats.org/officeDocument/2006/docPropsVTypes"/>
</file>