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4e4597c87e774185830e5b8bbbf5f4df0d39b"/>
    <w:p>
      <w:pPr>
        <w:pStyle w:val="Heading3"/>
      </w:pPr>
      <w:r>
        <w:t xml:space="preserve">Заключение по результатам публичных слушаний по корректировке проекта межевания территории части квартала района Вешняки, ограниченного улицей Юности, улицей Аллея Жемчуговой, улицей Вешняковская, улицей Молдагуловой.</w:t>
      </w:r>
    </w:p>
    <w:p>
      <w:pPr>
        <w:pStyle w:val="FirstParagraph"/>
      </w:pPr>
      <w:r>
        <w:t xml:space="preserve">27.12.2020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2025-04-15T04:46:28Z</dcterms:created>
  <dcterms:modified xsi:type="dcterms:W3CDTF">2025-04-15T04:46:28Z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