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583aabaf82f40519b79ced0f3b95ebd1bda5d0"/>
    <w:p>
      <w:pPr>
        <w:pStyle w:val="Heading3"/>
      </w:pPr>
      <w:r>
        <w:t xml:space="preserve">Заключение по результатам публичных слушаний по проекту планировки территории микрорайонов 3,4,5 района Гольяново в целях реализации Программы реновации жилищного фонда в городе Москве</w:t>
      </w:r>
    </w:p>
    <w:p>
      <w:pPr>
        <w:pStyle w:val="FirstParagraph"/>
      </w:pPr>
      <w:r>
        <w:t xml:space="preserve">26.12.2019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http://vao.mos.ru/obyavlennye_publichnye_slushaniya/detail/8973394.html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ao.mos.ru" TargetMode="External" /><Relationship Type="http://schemas.openxmlformats.org/officeDocument/2006/relationships/hyperlink" Id="rId20" Target="http://vao.mos.ru/obyavlennye_publichnye_slushaniya/detail/89733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ao.mos.ru" TargetMode="External" /><Relationship Type="http://schemas.openxmlformats.org/officeDocument/2006/relationships/hyperlink" Id="rId20" Target="http://vao.mos.ru/obyavlennye_publichnye_slushaniya/detail/89733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2025-04-15T04:50:18Z</dcterms:created>
  <dcterms:modified xsi:type="dcterms:W3CDTF">2025-04-15T04:50:18Z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