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060a410c4ac9f8065a09cfc2fa85441b2e6b8"/>
    <w:p>
      <w:pPr>
        <w:pStyle w:val="Heading3"/>
      </w:pPr>
      <w:r>
        <w:t xml:space="preserve">Средства стимулирования управы Гольянова потратят на благоустройство и безопасность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r>
        <w:rPr>
          <w:bCs/>
          <w:b/>
          <w:iCs/>
          <w:i/>
        </w:rPr>
        <w:t xml:space="preserve">Районные власти Гольянова подготовили предложения о том, как распределить средства стимулирования управы. </w:t>
      </w:r>
      <w:r>
        <w:rPr>
          <w:iCs/>
          <w:i/>
          <w:bCs/>
          <w:b/>
        </w:rPr>
        <w:t xml:space="preserve">Деньги направят на благоустройство дворов, сооружение новых детских и спортивных площадок, убранство уличных зон для досуга и отдыха в разных концах Гольяново.</w:t>
      </w:r>
    </w:p>
    <w:p>
      <w:pPr>
        <w:pStyle w:val="BodyText"/>
      </w:pPr>
      <w:r>
        <w:t xml:space="preserve">Управа района в 2016 году предполагает на эти средства благоустроить дворовые территории на ул. Алтайская, д. 17, корп. 1-2, и ул. Алтайская, д. 31.</w:t>
      </w:r>
    </w:p>
    <w:p>
      <w:pPr>
        <w:pStyle w:val="BodyText"/>
      </w:pPr>
      <w:r>
        <w:t xml:space="preserve">Спортивные площадки появятся по адресам: ул. Алтайская, д. 11; ул. Камчатская, д. 19 и Курганская ул., д. 60. А детские площадки – на ул. Уральская, д. 11 и ул. Хабаровская, д. 9.</w:t>
      </w:r>
    </w:p>
    <w:p>
      <w:pPr>
        <w:pStyle w:val="BodyText"/>
      </w:pPr>
      <w:r>
        <w:t xml:space="preserve">Между домами на ул. Камчатская, д. 6, к. 1 и ул. Уссурийская, д. 5, к. 3 соорудят площадку для выгула собак.</w:t>
      </w:r>
    </w:p>
    <w:p>
      <w:pPr>
        <w:pStyle w:val="BodyText"/>
      </w:pPr>
      <w:r>
        <w:t xml:space="preserve">На Амурской улице между домами 21 и 60, для того чтобы снизить скорость интенсивного дорожного движения и обезопасить пешеходов, будут установлены искусственные дорожные неровности.</w:t>
      </w:r>
    </w:p>
    <w:p>
      <w:pPr>
        <w:pStyle w:val="BodyText"/>
      </w:pPr>
      <w:r>
        <w:t xml:space="preserve">Стоит отметить, что деньги для выполнения этих полезных дел район заработал сам. Из Гольянова они попали в городской бюджет как оплата за парковки, налог на физических лиц, сдающих своё жильё внаём, и патентование предпринимательской деятельности. Теперь деньги возвращаются назад. Их распределение будет согласовано с Советом депутатов муниципального округа Гольяново.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http://vao.mos.ru/presscenter/news/detail/2656519.html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2656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2656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2025-07-18T23:58:14Z</dcterms:created>
  <dcterms:modified xsi:type="dcterms:W3CDTF">2025-07-18T23:58:14Z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