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1a4bb1335c6a01c81572ea8c29102d83a4cd24"/>
    <w:p>
      <w:pPr>
        <w:pStyle w:val="Heading3"/>
      </w:pPr>
      <w:r>
        <w:t xml:space="preserve">Церковь в честь Введения во храм Пресвятой Богородицы в ВАО сдана в эксплуатацию</w:t>
      </w:r>
    </w:p>
    <w:p>
      <w:pPr>
        <w:pStyle w:val="FirstParagraph"/>
      </w:pPr>
      <w:r>
        <w:t xml:space="preserve">19.01.2018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eb2/khram-na-ketchersko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Восточном округе завершилось строительство нового храма, рассчитанного на 500 прихожан. Церковь в честь Введения во храм Пресвятой Богородицы вскоре будет открыта. Об этом сообщил председатель Мосгосстройнадзора Олег Антосенко.</w:t>
      </w:r>
    </w:p>
    <w:p>
      <w:pPr>
        <w:pStyle w:val="BodyText"/>
      </w:pPr>
      <w:r>
        <w:t xml:space="preserve">Храмовый комплекс возведен в районе Вешняки по адресу: ул. Кетчерская, вл. 2. По словам главы Мосгостройнадзора, кроме церкви в него вошел двухэтажный приходской дом, где разместятся крестильня, административные помещения, трапезная, классы воскресной школы и помещения для отдыха.</w:t>
      </w:r>
    </w:p>
    <w:p>
      <w:pPr>
        <w:pStyle w:val="BodyText"/>
      </w:pPr>
      <w:r>
        <w:t xml:space="preserve">Церковь построена на средства инвесторов и пожертвования прихожан. Центральной иконой храма станет образ «Введение во храм Пресвятой Богородицы», специально написанный для Введенской церкви в ВАО на святом Афоне.</w:t>
      </w:r>
    </w:p>
    <w:p>
      <w:pPr>
        <w:pStyle w:val="BodyText"/>
      </w:pPr>
      <w:r>
        <w:t xml:space="preserve">Программа строительства православных храмов («Программа-200») развернута во всех округах столицы, кроме Центрального. Ее цель – обеспечить жителей города церквями недалеко от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http://vao.mos.ru/presscenter/news/detail/7096852.html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096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096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2025-03-31T15:31:03Z</dcterms:created>
  <dcterms:modified xsi:type="dcterms:W3CDTF">2025-03-31T15:31:03Z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