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4f5e0bed0eca25e499d3388ab97dadc95cef454"/>
    <w:p>
      <w:pPr>
        <w:pStyle w:val="Heading3"/>
      </w:pPr>
      <w:r>
        <w:t xml:space="preserve">В Восточном округе обсудили меры безопасности в преддверии Дня города</w:t>
      </w:r>
    </w:p>
    <w:p>
      <w:pPr>
        <w:pStyle w:val="FirstParagraph"/>
      </w:pPr>
      <w:r>
        <w:t xml:space="preserve">23.08.2023</w:t>
      </w:r>
    </w:p>
    <w:p>
      <w:pPr>
        <w:pStyle w:val="BodyText"/>
      </w:pPr>
      <w:r>
        <w:t xml:space="preserve">В префектуре ВАО состоялось очередное заседание Антитеррористической комиссии.</w:t>
      </w:r>
    </w:p>
    <w:p>
      <w:pPr>
        <w:pStyle w:val="BodyText"/>
      </w:pPr>
      <w:r>
        <w:t xml:space="preserve">Участники заседания обсудили вопросы обеспечения антитеррористической защищенности на территории Восточного округа в период проведения Дня знаний, Дня солидарности в борьбе с терроризмом, Дня города и выборов Мэра Москвы. Кроме того, в ходе комиссии были приняты решения о дополнительных мерах по повышению уровня антитеррористической защищенности на объектах водоснабжения, энергетики, транспорта, торговли, жилищно-коммунального хозяйства, а также помещений избирательных комиссий и помещений организации голосования.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http://vao.mos.ru/presscenter/officially/detail/11965335.html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Восточного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vao.mos.ru" TargetMode="External" /><Relationship Type="http://schemas.openxmlformats.org/officeDocument/2006/relationships/hyperlink" Id="rId20" Target="http://vao.mos.ru/presscenter/officially/detail/1196533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vao.mos.ru" TargetMode="External" /><Relationship Type="http://schemas.openxmlformats.org/officeDocument/2006/relationships/hyperlink" Id="rId20" Target="http://vao.mos.ru/presscenter/officially/detail/1196533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2025-04-15T03:45:20Z</dcterms:created>
  <dcterms:modified xsi:type="dcterms:W3CDTF">2025-04-15T03:45:20Z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