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e85eafe2f421592c63767c7f7e504b539f567"/>
    <w:p>
      <w:pPr>
        <w:pStyle w:val="Heading3"/>
      </w:pPr>
      <w:r>
        <w:t xml:space="preserve">Что делать, если пришел отказ в назначении единого пособия из-за собственности, которой по факту нет?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для назначения единого пособия сведения о недвижимом имуществе заявителя и членов его семьи предоставляются Росреестром, об автотранспортных средствах – МВД России, о маломерных водных судах – МЧС России.</w:t>
      </w:r>
    </w:p>
    <w:p>
      <w:pPr>
        <w:pStyle w:val="BodyText"/>
      </w:pPr>
      <w:r>
        <w:t xml:space="preserve">В случае получения отказа в назначении единого пособия по причине наличия в собственности семьи вышеуказанного имущества, которое по факту отсутствует, необходимо обратиться в соответствующий орган для корректировки сведений. После подтверждения, что в собственности семьи нет имущества, из-за которого вынесен отказ, решение будет пересмотрено.</w:t>
      </w:r>
    </w:p>
    <w:p>
      <w:pPr>
        <w:pStyle w:val="BodyText"/>
      </w:pPr>
      <w:r>
        <w:t xml:space="preserve">Подробнее ознакомиться с условиями оформления единого пособия можно на официальном сайте СФР в разделе «Гражданам» –</w:t>
      </w:r>
      <w:r>
        <w:t xml:space="preserve"> </w:t>
      </w:r>
      <w:hyperlink r:id="rId20">
        <w:r>
          <w:rPr>
            <w:rStyle w:val="Hyperlink"/>
          </w:rPr>
          <w:t xml:space="preserve">«Семьям с детьми»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http://vao.mos.ru/sotsialnaya_sfera/pensionnoe_obespechenie/novosti-sotsialnogo-fond/detail/12543063.html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543063.html" TargetMode="External" /><Relationship Type="http://schemas.openxmlformats.org/officeDocument/2006/relationships/hyperlink" Id="rId20" Target="https://sfr.gov.ru/grazhdanam/families_with_childr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2543063.html" TargetMode="External" /><Relationship Type="http://schemas.openxmlformats.org/officeDocument/2006/relationships/hyperlink" Id="rId20" Target="https://sfr.gov.ru/grazhdanam/families_with_childr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2025-04-15T03:41:07Z</dcterms:created>
  <dcterms:modified xsi:type="dcterms:W3CDTF">2025-04-15T03:41:07Z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