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114774bfa091b5ba501badc6391703cf2187abf"/>
    <w:p>
      <w:pPr>
        <w:pStyle w:val="Heading3"/>
      </w:pPr>
      <w:r>
        <w:t xml:space="preserve">Отделение СФР по Москве и Московской области досрочно выплатит пособия в связи с майскими праздниками</w:t>
      </w:r>
    </w:p>
    <w:p>
      <w:pPr>
        <w:pStyle w:val="FirstParagraph"/>
      </w:pPr>
      <w:r>
        <w:t xml:space="preserve">23.04.2025</w:t>
      </w:r>
    </w:p>
    <w:p>
      <w:pPr>
        <w:pStyle w:val="BodyText"/>
      </w:pPr>
      <w:r>
        <w:t xml:space="preserve">В преддверии майских праздников Отделение Социального фонда по Москве и Московской области до конца апреля перечислит семьям детские пособия, которые по обычному графику должны были прийти в начале мая.</w:t>
      </w:r>
    </w:p>
    <w:p>
      <w:pPr>
        <w:pStyle w:val="BodyText"/>
      </w:pPr>
      <w:r>
        <w:t xml:space="preserve">Не позднее 30 апреля семьи с детьми получат следующие выплаты за май: единое пособие на детей до 17 лет и по беременности, ежемесячное пособие по уходу за ребёнком до 1,5 лет неработающим родителям, ежемесячное пособие на первого ребёнка до 3 лет и ежемесячное пособие на ребёнка военнослужащего по призыву. Зачисление средств в этот день коснётся тех семей, которые выбрали безналичный способ получения через банк. Если пособие доставляет почта, выплата пройдёт в мае и продлится до 25-го числа по графику работы отделений Почты России.</w:t>
      </w:r>
    </w:p>
    <w:p>
      <w:pPr>
        <w:pStyle w:val="BodyText"/>
      </w:pPr>
      <w:r>
        <w:t xml:space="preserve">Напомним, что для удобства родителей большинство детских пособий за прошедший месяц поступает через кредитную организацию 3-го числа каждого месяца, ежемесячная выплата из средств материнского капитала на ребёнка до 3 лет — 5-го числа, а ежемесячное пособие по уходу за ребёнком до 1,5 лет работающим родителям — 8-го числа. В тех случаях, когда дни выплаты приходятся на праздники и выходные, Отделение Социального фонда заранее перечисляет средства. Доставка пособий через Почту России осуществляется с 3-го по 25-е число, в зависимости от графика конкретного отделения.</w:t>
      </w:r>
    </w:p>
    <w:p>
      <w:pPr>
        <w:pStyle w:val="BodyText"/>
      </w:pPr>
      <w:r>
        <w:t xml:space="preserve">Для тех, кто получает пенсии через банки с датой доставки 3-4 мая, денежные средства будут также зачислят на счета и банковские карты заблаговременно — не позднее 30 апреля 2025 года. Остальные пенсионеры получат выплаты в обычном режиме в установленные им даты доставки.</w:t>
      </w:r>
    </w:p>
    <w:p>
      <w:pPr>
        <w:pStyle w:val="BodyText"/>
      </w:pPr>
      <w:r>
        <w:t xml:space="preserve">Пенсионеры, которым выплаты доставляет Почта России, получат средства за май в привычные даты. Доставка будет производиться с 3 мая с учётом графика работы почтовых отделений. Досрочная выплата затрагивает все виды пенсий, включая страховые и социальные, накопительные, пенсии по старости и по инвалидности. Если вместе с пенсией приходят другие выплаты от Отделения Социального фонда, они также будут перечислены досрочно.</w:t>
      </w:r>
    </w:p>
    <w:p>
      <w:pPr>
        <w:pStyle w:val="BodyText"/>
      </w:pPr>
      <w:r>
        <w:t xml:space="preserve">Пособия и пенсии поступят автоматически, получателям не нужно никуда обращаться для этого. В следующий раз выплаты родителям и пенсионерам придут в июне в обычные сроки. Исключение составляют семьи, которым пособие назначено впервые или продлена выплата — они получают её в течение пяти рабочих дней после назначения.</w:t>
      </w:r>
    </w:p>
    <w:p>
      <w:pPr>
        <w:pStyle w:val="BodyText"/>
      </w:pPr>
      <w:r>
        <w:t xml:space="preserve">Выплаты перечисляются в течение всего дня. Зачисление средств на счета (карты) производит банк, которому требуется на это время. Уточнить информацию о выплатах пособий и пенсий перед майскими праздниками и в праздничные дни можно в банках и отделениях Почты России.</w:t>
      </w:r>
    </w:p>
    <w:p>
      <w:pPr>
        <w:pStyle w:val="BodyText"/>
      </w:pPr>
      <w:r>
        <w:rPr>
          <w:bCs/>
          <w:b/>
        </w:rPr>
        <w:t xml:space="preserve">Если остались вопросы, вы всегда можете обратиться к специалистам Отделения СФР по Москве и Московской области, позвонив в единый контакт-центр взаимодействия с гражданами по тел. 8-800-100-00-01 (звонок бесплатный), а также получить информацию, подписавшись на наши страницы в социальных сетях:</w:t>
      </w:r>
    </w:p>
    <w:p>
      <w:pPr>
        <w:pStyle w:val="BodyText"/>
      </w:pPr>
      <w:r>
        <w:t xml:space="preserve">ВК</w:t>
      </w:r>
      <w:r>
        <w:t xml:space="preserve"> </w:t>
      </w:r>
      <w:hyperlink r:id="rId20">
        <w:r>
          <w:rPr>
            <w:rStyle w:val="Hyperlink"/>
            <w:u w:val="single"/>
          </w:rPr>
          <w:t xml:space="preserve">https://vk.com/sfr.moskva.i.moskovskaya.oblast</w:t>
        </w:r>
      </w:hyperlink>
    </w:p>
    <w:p>
      <w:pPr>
        <w:pStyle w:val="BodyText"/>
      </w:pPr>
      <w:r>
        <w:t xml:space="preserve">ОК</w:t>
      </w:r>
      <w:r>
        <w:t xml:space="preserve"> </w:t>
      </w:r>
      <w:hyperlink r:id="rId21">
        <w:r>
          <w:rPr>
            <w:rStyle w:val="Hyperlink"/>
            <w:u w:val="single"/>
          </w:rPr>
          <w:t xml:space="preserve">https://ok.ru/sfr.msk.i.moskobl</w:t>
        </w:r>
      </w:hyperlink>
    </w:p>
    <w:p>
      <w:pPr>
        <w:pStyle w:val="BodyText"/>
      </w:pPr>
      <w:r>
        <w:t xml:space="preserve">ТГ</w:t>
      </w:r>
      <w:r>
        <w:t xml:space="preserve"> </w:t>
      </w:r>
      <w:hyperlink r:id="rId22">
        <w:r>
          <w:rPr>
            <w:rStyle w:val="Hyperlink"/>
            <w:u w:val="single"/>
          </w:rPr>
          <w:t xml:space="preserve">https://t.me/sfr_moskva_i_moskovskayaoblast</w:t>
        </w:r>
      </w:hyperlink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http://vao.mos.ru/sotsialnaya_sfera/pensionnoe_obespechenie/novosti-sotsialnogo-fond/detail/12931759.html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Префектура Восточного административного округа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4" Target="http://vao.mos.ru" TargetMode="External" /><Relationship Type="http://schemas.openxmlformats.org/officeDocument/2006/relationships/hyperlink" Id="rId23" Target="http://vao.mos.ru/sotsialnaya_sfera/pensionnoe_obespechenie/novosti-sotsialnogo-fond/detail/12931759.html" TargetMode="External" /><Relationship Type="http://schemas.openxmlformats.org/officeDocument/2006/relationships/hyperlink" Id="rId21" Target="https://ok.ru/sfr.msk.i.moskobl" TargetMode="External" /><Relationship Type="http://schemas.openxmlformats.org/officeDocument/2006/relationships/hyperlink" Id="rId22" Target="https://t.me/sfr_moskva_i_moskovskayaoblast" TargetMode="External" /><Relationship Type="http://schemas.openxmlformats.org/officeDocument/2006/relationships/hyperlink" Id="rId20" Target="https://vk.com/sfr.moskva.i.moskovskaya.oblas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vao.mos.ru" TargetMode="External" /><Relationship Type="http://schemas.openxmlformats.org/officeDocument/2006/relationships/hyperlink" Id="rId23" Target="http://vao.mos.ru/sotsialnaya_sfera/pensionnoe_obespechenie/novosti-sotsialnogo-fond/detail/12931759.html" TargetMode="External" /><Relationship Type="http://schemas.openxmlformats.org/officeDocument/2006/relationships/hyperlink" Id="rId21" Target="https://ok.ru/sfr.msk.i.moskobl" TargetMode="External" /><Relationship Type="http://schemas.openxmlformats.org/officeDocument/2006/relationships/hyperlink" Id="rId22" Target="https://t.me/sfr_moskva_i_moskovskayaoblast" TargetMode="External" /><Relationship Type="http://schemas.openxmlformats.org/officeDocument/2006/relationships/hyperlink" Id="rId20" Target="https://vk.com/sfr.moskva.i.moskovskaya.oblas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2025-05-17T12:44:52Z</dcterms:created>
  <dcterms:modified xsi:type="dcterms:W3CDTF">2025-05-17T12:44:52Z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