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608501457a608b8c0418d3c8e1a592b4b433ac"/>
    <w:p>
      <w:pPr>
        <w:pStyle w:val="Heading3"/>
      </w:pPr>
      <w:r>
        <w:t xml:space="preserve">Более 1,1 миллиона федеральных льготников в Москве и Московской области получают набор социальных услуг в натуральном виде</w:t>
      </w:r>
    </w:p>
    <w:p>
      <w:pPr>
        <w:pStyle w:val="FirstParagraph"/>
      </w:pPr>
      <w:r>
        <w:t xml:space="preserve">25.06.2025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Отделение СФР по Москве и Московской области предоставляет федеральным льготникам ежемесячную денежную выплату (ЕДВ), в состав которой входит набор социальных услуг (НСУ). Он включает в себя обеспечение лекарственными препаратами, санаторно-курортное лечение, проезд на междугородном транспорте к месту лечения и обратно, а также бесплатный проезд на пригородных поездах. На сегодняшний день свыше 1,1 миллиона жителей региона сохранили право на получение таких льгот в натуральном виде.</w:t>
      </w:r>
    </w:p>
    <w:p>
      <w:pPr>
        <w:pStyle w:val="BodyText"/>
      </w:pPr>
      <w:r>
        <w:t xml:space="preserve">К федеральным льготникам относятся инвалиды и участники Великой Отечественной войны, ветераны боевых действий, члены семей погибших или умерших участников Великой Отечественной войны и ветеранов боевых действий, дети и взрослые с любой группой инвалидности, жители блокадного Ленинграда, осажденного Севастополя и Сталинграда, а также пострадавшие в результате радиационных и техногенных катастроф и другие категории граждан.</w:t>
      </w:r>
    </w:p>
    <w:p>
      <w:pPr>
        <w:pStyle w:val="BodyText"/>
      </w:pPr>
      <w:r>
        <w:t xml:space="preserve">По умолчанию набор социальных услуг предоставляется в натуральной форме. Исключение составляют граждане, подвергшиеся воздействию радиации и ветераны боевых действий, которым он изначально предоставляется в денежном эквиваленте. В дальнейшем льготник может самостоятельно выбрать, в какой форме он предпочитает получать НСУ. При этом он может заменить способ получения НСУ деньгами как полностью, так и частично.</w:t>
      </w:r>
    </w:p>
    <w:p>
      <w:pPr>
        <w:pStyle w:val="BodyText"/>
      </w:pPr>
      <w:r>
        <w:t xml:space="preserve">В этом году стоимость НСУ составляет 1728,46 рублей. Из них за лекарства, медицинские изделия и питание положено 1331,30 рублей, за путевки — 205,95 рублей и за проезд — 191,21 рубль.</w:t>
      </w:r>
    </w:p>
    <w:p>
      <w:pPr>
        <w:pStyle w:val="BodyText"/>
      </w:pPr>
      <w:r>
        <w:t xml:space="preserve">Размер денежного эквивалента не означает, что льготы в натуральном виде оказываются на такую же сумму. Они предоставляются в том объеме, который необходим льготнику.</w:t>
      </w:r>
    </w:p>
    <w:p>
      <w:pPr>
        <w:pStyle w:val="BodyText"/>
      </w:pPr>
      <w:r>
        <w:t xml:space="preserve">Менять порядок получения социальных услуг можно ежегодно. Если льготник хочет изменить НСУ на 2026 год, ему необходимо до 1 октября 2025 года подать заявление через портал госуслуг, в клиентской службе Отделения СФР по Москве и Московской области или МФЦ. Если форма получения набора соцуслуг устраивает, и получатель не планирует ее менять на следующий год, подавать заявление не нужно.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http://vao.mos.ru/sotsialnaya_sfera/pensionnoe_obespechenie/novosti-sotsialnogo-fond/detail/13060968.html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sotsialnaya_sfera/pensionnoe_obespechenie/novosti-sotsialnogo-fond/detail/1306096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sotsialnaya_sfera/pensionnoe_obespechenie/novosti-sotsialnogo-fond/detail/1306096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2025-06-26T12:41:04Z</dcterms:created>
  <dcterms:modified xsi:type="dcterms:W3CDTF">2025-06-26T12:41:04Z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