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ab19f7109ba59d7f5bc403797c74b4bbb4eec1"/>
    <w:p>
      <w:pPr>
        <w:pStyle w:val="Heading3"/>
      </w:pPr>
      <w:r>
        <w:t xml:space="preserve">О бесплатной вакцинации домашних животных от бешенства</w:t>
      </w:r>
    </w:p>
    <w:p>
      <w:pPr>
        <w:pStyle w:val="FirstParagraph"/>
      </w:pPr>
      <w:r>
        <w:t xml:space="preserve">22.11.2018</w:t>
      </w:r>
    </w:p>
    <w:p>
      <w:pPr>
        <w:pStyle w:val="BodyText"/>
      </w:pPr>
      <w:r>
        <w:drawing>
          <wp:inline>
            <wp:extent cx="5334000" cy="754418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ao.mos.ru/www/the-state-veterinary-service/ВАО%20Вакцинация%20А4png_Page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http://vao.mos.ru/the-state-veterinary-service/news/detail/7713936.html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vao.mos.ru" TargetMode="External" /><Relationship Type="http://schemas.openxmlformats.org/officeDocument/2006/relationships/hyperlink" Id="rId23" Target="http://vao.mos.ru/the-state-veterinary-service/news/detail/77139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ao.mos.ru" TargetMode="External" /><Relationship Type="http://schemas.openxmlformats.org/officeDocument/2006/relationships/hyperlink" Id="rId23" Target="http://vao.mos.ru/the-state-veterinary-service/news/detail/77139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2025-04-15T03:46:01Z</dcterms:created>
  <dcterms:modified xsi:type="dcterms:W3CDTF">2025-04-15T03:46:01Z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